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Ferre Maria Luisa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P.O. BOX 11924</w:t>
                  </w:r>
                </w:p>
              </w:tc>
            </w:tr>
            <w:tr>
              <w:trPr/>
              <w:tc>
                <w:tcPr>
                  <w:tcW w:w="345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JUAN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PR</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00922-1924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POPULAR, INC.</w:t>
              </w:r>
            </w:hyperlink>
            <w:r>
              <w:rPr/>
              <w:t xml:space="preserve"> [ </w:t>
            </w:r>
            <w:r>
              <w:rPr>
                <w:rFonts w:ascii="Times;serif" w:hAnsi="Times;serif"/>
                <w:color w:val="0000FF"/>
                <w:sz w:val="24"/>
                <w:shd w:fill="FFFFFF" w:val="clear"/>
              </w:rPr>
              <w:t>BPOP</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07/30/2026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788"/>
        <w:gridCol w:w="920"/>
        <w:gridCol w:w="791"/>
        <w:gridCol w:w="611"/>
        <w:gridCol w:w="334"/>
        <w:gridCol w:w="787"/>
        <w:gridCol w:w="401"/>
        <w:gridCol w:w="998"/>
        <w:gridCol w:w="1330"/>
        <w:gridCol w:w="942"/>
        <w:gridCol w:w="130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78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8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3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4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3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78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8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0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78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 per share</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07/30/2026</w:t>
            </w:r>
          </w:p>
        </w:tc>
        <w:tc>
          <w:tcPr>
            <w:tcW w:w="7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3,076</w:t>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173.786</w:t>
            </w:r>
            <w:r>
              <w:rPr>
                <w:rFonts w:ascii="Times;serif" w:hAnsi="Times;serif"/>
                <w:color w:val="008000"/>
                <w:position w:val="7"/>
                <w:sz w:val="16"/>
                <w:sz w:val="20"/>
                <w:shd w:fill="FFFFFF" w:val="clear"/>
              </w:rPr>
              <w:t>(1)</w:t>
            </w:r>
          </w:p>
        </w:tc>
        <w:tc>
          <w:tcPr>
            <w:tcW w:w="13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34,400.962</w:t>
            </w:r>
          </w:p>
        </w:tc>
        <w:tc>
          <w:tcPr>
            <w:tcW w:w="9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78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 per share</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07/30/2026</w:t>
            </w:r>
          </w:p>
        </w:tc>
        <w:tc>
          <w:tcPr>
            <w:tcW w:w="7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3,385</w:t>
            </w:r>
          </w:p>
        </w:tc>
        <w:tc>
          <w:tcPr>
            <w:tcW w:w="4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175.42</w:t>
            </w:r>
          </w:p>
        </w:tc>
        <w:tc>
          <w:tcPr>
            <w:tcW w:w="133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10,156</w:t>
            </w:r>
          </w:p>
        </w:tc>
        <w:tc>
          <w:tcPr>
            <w:tcW w:w="94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I</w:t>
            </w:r>
            <w:r>
              <w:rPr>
                <w:rFonts w:ascii="Times;serif" w:hAnsi="Times;serif"/>
                <w:color w:val="008000"/>
                <w:position w:val="7"/>
                <w:sz w:val="16"/>
                <w:sz w:val="20"/>
                <w:shd w:fill="FFFFFF" w:val="clear"/>
              </w:rPr>
              <w:t>(2)</w:t>
            </w:r>
          </w:p>
        </w:tc>
        <w:tc>
          <w:tcPr>
            <w:tcW w:w="13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The Luis A. Ferre Foundation, Inc.</w:t>
            </w:r>
          </w:p>
        </w:tc>
      </w:tr>
    </w:tbl>
    <w:tbl>
      <w:tblPr>
        <w:tblW w:w="12008"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400"/>
        <w:gridCol w:w="401"/>
        <w:gridCol w:w="906"/>
        <w:gridCol w:w="801"/>
        <w:gridCol w:w="891"/>
        <w:gridCol w:w="801"/>
        <w:gridCol w:w="801"/>
        <w:gridCol w:w="936"/>
        <w:gridCol w:w="831"/>
        <w:gridCol w:w="846"/>
      </w:tblGrid>
      <w:tr>
        <w:trPr>
          <w:tblHeader w:val="true"/>
        </w:trPr>
        <w:tc>
          <w:tcPr>
            <w:tcW w:w="12008"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 Par Value $0.01 per share</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17,494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17,494</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price is a weighted average price. These shares were sold in multiple transactions ranging from $173.70 and $173.835, inclusive. The reporting person undertakes to provide the Corporation, any security holder of the Corporation, or the Staff of the Securities and Exchange Commission, upon request, full information regarding the number of shares acquired at each separate price within the ranges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Ms. Ferre is the President and a Trustee of the Luis A Ferre Foundation, Inc.</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Restricted stock units convert into common stock on a one-for-one basis.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Restricted stock units are converted into an equivalent number of shares of common stock and issued to the reporting person on the 15th of August following the date of termination of service as a director.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Marie Reyes-Rodriguez,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07/31/2026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89698" TargetMode="External"/><Relationship Id="rId5" Type="http://schemas.openxmlformats.org/officeDocument/2006/relationships/hyperlink" Target="http://www.sec.gov/cgi-bin/browse-edgar?action=getcompany&amp;CIK=000076390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729</Words>
  <Characters>3915</Characters>
  <CharactersWithSpaces>4558</CharactersWithSpaces>
  <Paragraphs>114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