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FERRER JAVIER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906"/>
        <w:gridCol w:w="423"/>
        <w:gridCol w:w="983"/>
        <w:gridCol w:w="1342"/>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175.433</w:t>
            </w:r>
            <w:r>
              <w:rPr>
                <w:rFonts w:ascii="Times;serif" w:hAnsi="Times;serif"/>
                <w:color w:val="008000"/>
                <w:position w:val="7"/>
                <w:sz w:val="16"/>
                <w:sz w:val="20"/>
                <w:shd w:fill="FFFFFF" w:val="clear"/>
              </w:rPr>
              <w:t>(1)</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96,478.371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1,167</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ranging from $175.01 to $175.97, inclusive. The reporting person undertakes to provide to the Corporation, any securityholder of the Corporation, or the staff of the Securities and Exchange Commission, upon request, full information regarding the number of shares sold at each separate price within the ranges set forth in thisfootnote.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Mr. Ferrer disclaims beneficial ownership of Popular, Inc.'s shares held by his wife and has no investment authority over those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1853"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3615</Characters>
  <CharactersWithSpaces>4208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