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Garcia Jorge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 &amp; CFO</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08/19/2026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843"/>
        <w:gridCol w:w="452"/>
        <w:gridCol w:w="614"/>
        <w:gridCol w:w="1403"/>
        <w:gridCol w:w="994"/>
        <w:gridCol w:w="92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0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5,733</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25,410.684</w:t>
            </w:r>
            <w:r>
              <w:rPr>
                <w:rFonts w:ascii="Times;serif" w:hAnsi="Times;serif"/>
                <w:color w:val="008000"/>
                <w:position w:val="7"/>
                <w:sz w:val="16"/>
                <w:sz w:val="20"/>
                <w:shd w:fill="FFFFFF" w:val="clear"/>
              </w:rPr>
              <w:t>(2)</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Award of restricted stock pursuant to Popular, Inc.'s Omnibus Incentive Plan. The award vests in equal annual installments on each of February 23 of 2027, 2028, 2029, and 2030.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130.113 shares acquired pursuant to reinvestment of dividends paid by the Corporation. The shares were acquired in transactions exempt from Section 16 of the Securities Exchange Act of 1934 pursuant to Rule 16a-11 thereunder.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43970"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635</Words>
  <Characters>3449</Characters>
  <CharactersWithSpaces>4016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